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8C44B" w14:textId="58BBAC41" w:rsidR="005B7196" w:rsidRPr="009C50B8" w:rsidRDefault="00BE668C" w:rsidP="004F0C2E">
      <w:pPr>
        <w:pStyle w:val="ListParagraph"/>
        <w:spacing w:line="276" w:lineRule="auto"/>
        <w:jc w:val="right"/>
        <w:rPr>
          <w:rFonts w:ascii="Trebuchet MS" w:eastAsia="Times New Roman" w:hAnsi="Trebuchet MS" w:cs="Times New Roman"/>
          <w:sz w:val="20"/>
          <w:szCs w:val="20"/>
          <w:lang w:val="ro-RO"/>
        </w:rPr>
      </w:pPr>
      <w:bookmarkStart w:id="0" w:name="_GoBack"/>
      <w:bookmarkEnd w:id="0"/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Anexa nr.4</w:t>
      </w:r>
    </w:p>
    <w:p w14:paraId="428BE372" w14:textId="395AC65B" w:rsidR="004F0C2E" w:rsidRPr="009C50B8" w:rsidRDefault="004F0C2E" w:rsidP="004F0C2E">
      <w:pPr>
        <w:pStyle w:val="ListParagraph"/>
        <w:spacing w:line="276" w:lineRule="auto"/>
        <w:jc w:val="right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6A7865CD" w14:textId="27E65406" w:rsidR="009C50B8" w:rsidRPr="009C50B8" w:rsidRDefault="009C50B8" w:rsidP="004F0C2E">
      <w:pPr>
        <w:pStyle w:val="ListParagraph"/>
        <w:spacing w:line="276" w:lineRule="auto"/>
        <w:jc w:val="right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4A3228E5" w14:textId="0157B44F" w:rsidR="009C50B8" w:rsidRPr="009C50B8" w:rsidRDefault="009C50B8" w:rsidP="009C50B8">
      <w:pPr>
        <w:pStyle w:val="ListParagraph"/>
        <w:spacing w:line="276" w:lineRule="auto"/>
        <w:jc w:val="center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7746DA06" w14:textId="77777777" w:rsidR="00003A7A" w:rsidRDefault="00003A7A" w:rsidP="00003A7A">
      <w:pPr>
        <w:pStyle w:val="Default"/>
        <w:spacing w:line="276" w:lineRule="auto"/>
        <w:jc w:val="center"/>
        <w:rPr>
          <w:rFonts w:ascii="Trebuchet MS" w:eastAsia="Times New Roman" w:hAnsi="Trebuchet MS" w:cs="Times New Roman"/>
          <w:sz w:val="20"/>
          <w:szCs w:val="20"/>
          <w:lang w:val="ro-RO"/>
        </w:rPr>
      </w:pPr>
      <w:r>
        <w:rPr>
          <w:rFonts w:ascii="Trebuchet MS" w:eastAsia="Times New Roman" w:hAnsi="Trebuchet MS" w:cs="Times New Roman"/>
          <w:sz w:val="20"/>
          <w:szCs w:val="20"/>
          <w:lang w:val="ro-RO"/>
        </w:rPr>
        <w:t>Lista a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ctivități</w:t>
      </w:r>
      <w:r>
        <w:rPr>
          <w:rFonts w:ascii="Trebuchet MS" w:eastAsia="Times New Roman" w:hAnsi="Trebuchet MS" w:cs="Times New Roman"/>
          <w:sz w:val="20"/>
          <w:szCs w:val="20"/>
          <w:lang w:val="ro-RO"/>
        </w:rPr>
        <w:t>lor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și active</w:t>
      </w:r>
      <w:r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lor aflate pe lista de excludere </w:t>
      </w:r>
    </w:p>
    <w:p w14:paraId="1CACE962" w14:textId="7DD10F35" w:rsidR="009C50B8" w:rsidRPr="009C50B8" w:rsidRDefault="00A92B84" w:rsidP="00003A7A">
      <w:pPr>
        <w:pStyle w:val="Default"/>
        <w:spacing w:line="276" w:lineRule="auto"/>
        <w:jc w:val="center"/>
        <w:rPr>
          <w:rFonts w:ascii="Trebuchet MS" w:eastAsia="Times New Roman" w:hAnsi="Trebuchet MS" w:cs="Times New Roman"/>
          <w:sz w:val="20"/>
          <w:szCs w:val="20"/>
          <w:lang w:val="ro-RO"/>
        </w:rPr>
      </w:pPr>
      <w:r>
        <w:rPr>
          <w:rFonts w:ascii="Trebuchet MS" w:eastAsia="Times New Roman" w:hAnsi="Trebuchet MS" w:cs="Times New Roman"/>
          <w:sz w:val="20"/>
          <w:szCs w:val="20"/>
          <w:lang w:val="ro-RO"/>
        </w:rPr>
        <w:t>î</w:t>
      </w:r>
      <w:r w:rsidR="00936246">
        <w:rPr>
          <w:rFonts w:ascii="Trebuchet MS" w:eastAsia="Times New Roman" w:hAnsi="Trebuchet MS" w:cs="Times New Roman"/>
          <w:sz w:val="20"/>
          <w:szCs w:val="20"/>
          <w:lang w:val="ro-RO"/>
        </w:rPr>
        <w:t>n vederea respectării</w:t>
      </w:r>
      <w:r w:rsidR="00003A7A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</w:t>
      </w:r>
      <w:r w:rsidR="00003A7A" w:rsidRPr="00003A7A">
        <w:rPr>
          <w:rFonts w:ascii="Trebuchet MS" w:eastAsia="Times New Roman" w:hAnsi="Trebuchet MS" w:cs="Times New Roman"/>
          <w:sz w:val="20"/>
          <w:szCs w:val="20"/>
          <w:lang w:val="ro-RO"/>
        </w:rPr>
        <w:t>Orient</w:t>
      </w:r>
      <w:r w:rsidR="00003A7A" w:rsidRPr="00003A7A">
        <w:rPr>
          <w:rFonts w:ascii="Trebuchet MS" w:eastAsia="Times New Roman" w:hAnsi="Trebuchet MS" w:cs="Times New Roman" w:hint="eastAsia"/>
          <w:sz w:val="20"/>
          <w:szCs w:val="20"/>
          <w:lang w:val="ro-RO"/>
        </w:rPr>
        <w:t>ă</w:t>
      </w:r>
      <w:r w:rsidR="00936246">
        <w:rPr>
          <w:rFonts w:ascii="Trebuchet MS" w:eastAsia="Times New Roman" w:hAnsi="Trebuchet MS" w:cs="Times New Roman"/>
          <w:sz w:val="20"/>
          <w:szCs w:val="20"/>
          <w:lang w:val="ro-RO"/>
        </w:rPr>
        <w:t>rilor</w:t>
      </w:r>
      <w:r w:rsidR="00003A7A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tehnice DNSH (2021/C58/01)</w:t>
      </w:r>
    </w:p>
    <w:p w14:paraId="086B59B5" w14:textId="77777777" w:rsidR="009C50B8" w:rsidRPr="009C50B8" w:rsidRDefault="009C50B8" w:rsidP="004F0C2E">
      <w:pPr>
        <w:pStyle w:val="ListParagraph"/>
        <w:spacing w:line="276" w:lineRule="auto"/>
        <w:jc w:val="right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1936EB08" w14:textId="576F9274" w:rsidR="00561975" w:rsidRPr="009C50B8" w:rsidRDefault="00561975" w:rsidP="005B7196">
      <w:pPr>
        <w:pStyle w:val="ListParagraph"/>
        <w:numPr>
          <w:ilvl w:val="0"/>
          <w:numId w:val="2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Activități și active legate de combustibili fosili, inclusiv utilizarea din aval</w:t>
      </w:r>
    </w:p>
    <w:p w14:paraId="4BD99776" w14:textId="77777777" w:rsidR="00373A2D" w:rsidRPr="009C50B8" w:rsidRDefault="00373A2D" w:rsidP="00373A2D">
      <w:pPr>
        <w:pStyle w:val="ListParagraph"/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1DCA395E" w14:textId="77777777" w:rsidR="002D0D4C" w:rsidRPr="009C50B8" w:rsidRDefault="002D0D4C" w:rsidP="002D0D4C">
      <w:pPr>
        <w:pStyle w:val="ListParagraph"/>
        <w:numPr>
          <w:ilvl w:val="0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 de energie pe bază de combustibili fosili și activitățile conexe:</w:t>
      </w:r>
    </w:p>
    <w:p w14:paraId="6D890EF9" w14:textId="34E19FF8" w:rsidR="005B7196" w:rsidRPr="009C50B8" w:rsidRDefault="005B7196" w:rsidP="00942B8B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extracția, prelucrarea, transportul și depozitarea cărbunelui;</w:t>
      </w:r>
    </w:p>
    <w:p w14:paraId="3E10616A" w14:textId="77777777" w:rsidR="005B7196" w:rsidRPr="009C50B8" w:rsidRDefault="005B7196" w:rsidP="00942B8B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explorarea și producția de petrol, rafinare, transport, distribuție și depozitare;</w:t>
      </w:r>
    </w:p>
    <w:p w14:paraId="1575FC32" w14:textId="77777777" w:rsidR="005B7196" w:rsidRPr="009C50B8" w:rsidRDefault="005B7196" w:rsidP="00942B8B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explorarea și producerea gazelor naturale, lichefierea, regazificarea, transportul, distribuția și stocarea;</w:t>
      </w:r>
    </w:p>
    <w:p w14:paraId="6A58D816" w14:textId="77777777" w:rsidR="005B7196" w:rsidRPr="009C50B8" w:rsidRDefault="005B7196" w:rsidP="00942B8B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generarea de energie electrică care depășește standardul de performanță al emisiilor (adică, 250 de grame de CO2/kWh de energie electrică) aplicabil centralelor electrice și de cogenerare pe combustibili fosili și centralelor geotermale și hidroelectrice cu rezervoare mari;</w:t>
      </w:r>
    </w:p>
    <w:p w14:paraId="6D66C098" w14:textId="77777777" w:rsidR="005B7196" w:rsidRPr="009C50B8" w:rsidRDefault="005B7196" w:rsidP="005B7196">
      <w:pPr>
        <w:pStyle w:val="ListParagraph"/>
        <w:numPr>
          <w:ilvl w:val="0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industrii consumatoare de energie și/sau cu emisii mari de CO2, după cum urmează:</w:t>
      </w:r>
    </w:p>
    <w:p w14:paraId="19F78A0C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altor produse chimice anorganice, de bază (cod CAEN 2013);</w:t>
      </w:r>
    </w:p>
    <w:p w14:paraId="4877A788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altor produse chimice organice, de bază (cod CAEN 2014);</w:t>
      </w:r>
    </w:p>
    <w:p w14:paraId="3162D696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ingrasamintelor si produselor azotoase (cod CAEN 2015);</w:t>
      </w:r>
    </w:p>
    <w:p w14:paraId="37CF0B97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materialelor plastice in forme primare (cod CAEN 2016);</w:t>
      </w:r>
    </w:p>
    <w:p w14:paraId="1CFC6431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cimentului (cod CAEN 2351);</w:t>
      </w:r>
    </w:p>
    <w:p w14:paraId="199C7875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 de metale feroase sub forme primare si de feroaliaje (cod CAEN 2410);</w:t>
      </w:r>
    </w:p>
    <w:p w14:paraId="22C5CD03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 de tuburi, tevi, profile tubulare si accesorii pentru acestea, din otel (cod CAEN 2420);</w:t>
      </w:r>
    </w:p>
    <w:p w14:paraId="1956C1E3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 de profile obținute la rece (cod CAEN 243);</w:t>
      </w:r>
    </w:p>
    <w:p w14:paraId="3058D41E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Metalurgia aluminiului (cod CAEN 2442);</w:t>
      </w:r>
    </w:p>
    <w:p w14:paraId="5ACE54A5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de aeronave si nave spatiale (cod CAEN 3030);</w:t>
      </w:r>
    </w:p>
    <w:p w14:paraId="21D19292" w14:textId="4BC6A86E" w:rsidR="00B43342" w:rsidRPr="009C50B8" w:rsidRDefault="005B7196" w:rsidP="00B43342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Transporturi aeriene de pasageri (cod CAEN 5110);</w:t>
      </w:r>
    </w:p>
    <w:p w14:paraId="1F3872EF" w14:textId="77777777" w:rsidR="00B43342" w:rsidRPr="009C50B8" w:rsidRDefault="00B43342" w:rsidP="00B43342">
      <w:pPr>
        <w:pStyle w:val="ListParagraph"/>
        <w:spacing w:line="276" w:lineRule="auto"/>
        <w:ind w:left="1440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386ECB26" w14:textId="7594594A" w:rsidR="00B43342" w:rsidRPr="009C50B8" w:rsidRDefault="00B43342" w:rsidP="003F2B2C">
      <w:pPr>
        <w:pStyle w:val="ListParagraph"/>
        <w:numPr>
          <w:ilvl w:val="0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Producția, închirierea sau vânzarea de vehicule poluante:</w:t>
      </w:r>
    </w:p>
    <w:p w14:paraId="57325A67" w14:textId="77777777" w:rsidR="00373A2D" w:rsidRPr="009C50B8" w:rsidRDefault="00373A2D" w:rsidP="00373A2D">
      <w:pPr>
        <w:pStyle w:val="ListParagraph"/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0D7440C2" w14:textId="5509244C" w:rsidR="00B43342" w:rsidRPr="009C50B8" w:rsidRDefault="00B43342" w:rsidP="0090471D">
      <w:pPr>
        <w:pStyle w:val="ListParagraph"/>
        <w:numPr>
          <w:ilvl w:val="1"/>
          <w:numId w:val="6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de vehicule cu motor cu combustie (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cod CAEN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2910 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autovehiculelor de transport rutier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)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;</w:t>
      </w:r>
    </w:p>
    <w:p w14:paraId="3FE4FEAF" w14:textId="557FDC25" w:rsidR="00B43342" w:rsidRPr="009C50B8" w:rsidRDefault="00B43342" w:rsidP="00B43342">
      <w:pPr>
        <w:pStyle w:val="ListParagraph"/>
        <w:numPr>
          <w:ilvl w:val="1"/>
          <w:numId w:val="6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Comerț cu ridicata și cu amănuntul al vehiculelor poluante (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cod CAEN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4511 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Comerț cu autoturisme si autovehicule usoare (sub 3,5 tone) și 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4519 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Comerț cu alte autovehicule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)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;</w:t>
      </w:r>
    </w:p>
    <w:p w14:paraId="336EA3AD" w14:textId="65DC812B" w:rsidR="00B43342" w:rsidRPr="009C50B8" w:rsidRDefault="00B43342" w:rsidP="00B43342">
      <w:pPr>
        <w:pStyle w:val="ListParagraph"/>
        <w:numPr>
          <w:ilvl w:val="1"/>
          <w:numId w:val="6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Închiriere și leasing de vehicule poluante (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cod CAEN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Activități de inchiriere si leasing cu autoturisme si autovehicule rutiere usoare și 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7712 </w:t>
      </w:r>
      <w:r w:rsidR="004F0C2E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Activități de inchiriere si leasing cu autovehicule rutiere grele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)</w:t>
      </w:r>
      <w:r w:rsidR="004F0C2E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.</w:t>
      </w:r>
    </w:p>
    <w:p w14:paraId="7CA5E033" w14:textId="24870E01" w:rsidR="004F0C2E" w:rsidRPr="009C50B8" w:rsidRDefault="004F0C2E" w:rsidP="004F0C2E">
      <w:p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Prin vehicule poluante se înțelege:</w:t>
      </w:r>
    </w:p>
    <w:p w14:paraId="1659A7E0" w14:textId="77777777" w:rsidR="004F0C2E" w:rsidRPr="009C50B8" w:rsidRDefault="004F0C2E" w:rsidP="004F0C2E">
      <w:pPr>
        <w:pStyle w:val="ListParagraph"/>
        <w:numPr>
          <w:ilvl w:val="0"/>
          <w:numId w:val="8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Vehicule care depășesc pragul de 50 g CO2/km (autoturisme M1 și vehicule ușoare N1);</w:t>
      </w:r>
    </w:p>
    <w:p w14:paraId="74E85F56" w14:textId="43EC5D91" w:rsidR="004F0C2E" w:rsidRPr="009C50B8" w:rsidRDefault="004F0C2E" w:rsidP="004F0C2E">
      <w:pPr>
        <w:pStyle w:val="ListParagraph"/>
        <w:numPr>
          <w:ilvl w:val="0"/>
          <w:numId w:val="8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Camioane și alte vehicule grele de ex. tractoare (categoriile N2 și N3) numai cu emisii zero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și cu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emisii scăzute (așa cum este definit la articolul 3 alineatul (12) din Regulamentul (UE) 2019/1242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cele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cu emisii de CO2 mai mici de jumătate din emisiile de CO2 de referință ale tuturor vehiculelor 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din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subgrupul de vehicule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din care acestea fac parte - 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valorile de referință diferă în funcție de tipul de camion).</w:t>
      </w:r>
    </w:p>
    <w:p w14:paraId="119E5332" w14:textId="77777777" w:rsidR="004F0C2E" w:rsidRPr="009C50B8" w:rsidRDefault="004F0C2E" w:rsidP="004F0C2E">
      <w:p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-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ab/>
        <w:t>Autobuze:</w:t>
      </w:r>
    </w:p>
    <w:p w14:paraId="01EA4D68" w14:textId="426572B7" w:rsidR="004F0C2E" w:rsidRPr="009C50B8" w:rsidRDefault="004F0C2E" w:rsidP="00AD412D">
      <w:pPr>
        <w:pStyle w:val="ListParagraph"/>
        <w:numPr>
          <w:ilvl w:val="0"/>
          <w:numId w:val="9"/>
        </w:numPr>
        <w:spacing w:line="276" w:lineRule="auto"/>
        <w:ind w:left="1068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lastRenderedPageBreak/>
        <w:t xml:space="preserve">autobuze „cu podea joasă” (categoriile M2 și M3, de obicei autobuze urbane și suburbane care circulă pe distanțe scurte în cadrul unei aglomerații). Doar autobuzele electrice și hibride plug-in 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sunt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compatibile cu DNSH.</w:t>
      </w:r>
    </w:p>
    <w:p w14:paraId="575447EE" w14:textId="4D10E554" w:rsidR="004F0C2E" w:rsidRPr="009C50B8" w:rsidRDefault="004F0C2E" w:rsidP="00AD412D">
      <w:pPr>
        <w:pStyle w:val="ListParagraph"/>
        <w:numPr>
          <w:ilvl w:val="0"/>
          <w:numId w:val="9"/>
        </w:numPr>
        <w:spacing w:line="276" w:lineRule="auto"/>
        <w:ind w:left="1068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Autobuze „cu podea înaltă” (categoriile M2 și M3, de obicei autocare interurbane): toate autocarele care respectă cel mai recent pas în ceea ce privește emisiile de poluanți de la vehiculele grele în conformitate cu EURO VI (EURO VI-E) 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sunt conforme cu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DNSH.</w:t>
      </w:r>
    </w:p>
    <w:p w14:paraId="1C3AB523" w14:textId="77777777" w:rsidR="00B10FD6" w:rsidRPr="009C50B8" w:rsidRDefault="00B10FD6" w:rsidP="00B10FD6">
      <w:pPr>
        <w:pStyle w:val="ListParagraph"/>
        <w:spacing w:line="276" w:lineRule="auto"/>
        <w:ind w:left="1068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3525049F" w14:textId="77777777" w:rsidR="004F4831" w:rsidRPr="009C50B8" w:rsidRDefault="00781D6A" w:rsidP="004F4831">
      <w:pPr>
        <w:pStyle w:val="ListParagraph"/>
        <w:numPr>
          <w:ilvl w:val="0"/>
          <w:numId w:val="13"/>
        </w:numPr>
        <w:spacing w:line="276" w:lineRule="auto"/>
        <w:ind w:left="360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Activități și active în cadrul sistemului UE de comercializare a cotelor de emisii (ETS) care realizează emisiile de gaze cu efect de seră proiectate care nu sunt mai mici decât valorile de referință relevante[n conformitate cu </w:t>
      </w:r>
      <w:r w:rsidR="00B10FD6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Anexa nr.1 din Directiva 2003/87/CE a Parlamentului European și a Consiliului din 13 octombrie 2003 de stabilire a unui sistem de comercializare a cotelor de emisie de gaze cu efect de seră în cadrul Comunității și de modificare a Directivei 96/61/CE a Consiliului</w:t>
      </w:r>
      <w:r w:rsidR="000B479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.</w:t>
      </w:r>
    </w:p>
    <w:p w14:paraId="3B152A12" w14:textId="77777777" w:rsidR="004F4831" w:rsidRPr="009C50B8" w:rsidRDefault="004F4831" w:rsidP="004F4831">
      <w:pPr>
        <w:pStyle w:val="ListParagraph"/>
        <w:spacing w:line="276" w:lineRule="auto"/>
        <w:ind w:left="360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7E71298C" w14:textId="76E4A508" w:rsidR="00B10FD6" w:rsidRPr="009C50B8" w:rsidRDefault="004F4831" w:rsidP="004F4831">
      <w:pPr>
        <w:pStyle w:val="ListParagraph"/>
        <w:numPr>
          <w:ilvl w:val="0"/>
          <w:numId w:val="13"/>
        </w:numPr>
        <w:spacing w:line="276" w:lineRule="auto"/>
        <w:ind w:left="360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A</w:t>
      </w:r>
      <w:r w:rsidR="00424D7E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ctivități și active legate de depozitele de deșeuri, incineratoare și instalații de tratare biologică mecanică</w:t>
      </w:r>
      <w:r w:rsidR="0089314B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și activități și active în care eliminarea pe termen lung a deșeurilor poate dăuna mediului</w:t>
      </w:r>
      <w:r w:rsidR="00B10FD6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:</w:t>
      </w:r>
    </w:p>
    <w:p w14:paraId="28EFE140" w14:textId="77777777" w:rsidR="00B10FD6" w:rsidRPr="009C50B8" w:rsidRDefault="00B10FD6" w:rsidP="00B10FD6">
      <w:pPr>
        <w:pStyle w:val="ListParagrap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291F1831" w14:textId="1F95DE3E" w:rsidR="00B10FD6" w:rsidRPr="009C50B8" w:rsidRDefault="00B10FD6" w:rsidP="00B10FD6">
      <w:pPr>
        <w:pStyle w:val="ListParagraph"/>
        <w:numPr>
          <w:ilvl w:val="1"/>
          <w:numId w:val="10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Colectarea deseurilor (</w:t>
      </w:r>
      <w:r w:rsidR="00373A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d CAEN 381);</w:t>
      </w:r>
    </w:p>
    <w:p w14:paraId="2BA86D7C" w14:textId="4B2110B8" w:rsidR="00B10FD6" w:rsidRPr="009C50B8" w:rsidRDefault="00373A2D" w:rsidP="00B10FD6">
      <w:pPr>
        <w:pStyle w:val="ListParagraph"/>
        <w:numPr>
          <w:ilvl w:val="1"/>
          <w:numId w:val="10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Tratarea si eliminarea deșeurilor (cod CAEN 382);</w:t>
      </w:r>
    </w:p>
    <w:p w14:paraId="4E8B5329" w14:textId="3B5AFD2A" w:rsidR="00373A2D" w:rsidRPr="009C50B8" w:rsidRDefault="00373A2D" w:rsidP="00B10FD6">
      <w:pPr>
        <w:pStyle w:val="ListParagraph"/>
        <w:numPr>
          <w:ilvl w:val="1"/>
          <w:numId w:val="10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Prelucrarea combustibililor nucleari (cod CAEN 2446);</w:t>
      </w:r>
    </w:p>
    <w:p w14:paraId="2CAEF54C" w14:textId="7E6F2F5A" w:rsidR="00373A2D" w:rsidRPr="009C50B8" w:rsidRDefault="00373A2D" w:rsidP="00B10FD6">
      <w:pPr>
        <w:pStyle w:val="ListParagraph"/>
        <w:numPr>
          <w:ilvl w:val="1"/>
          <w:numId w:val="10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 de energie electrică (cod CAEN 3511).</w:t>
      </w:r>
    </w:p>
    <w:p w14:paraId="17E157F3" w14:textId="77777777" w:rsidR="004659E6" w:rsidRPr="009C50B8" w:rsidRDefault="004659E6" w:rsidP="00AD412D">
      <w:pPr>
        <w:ind w:left="348"/>
        <w:rPr>
          <w:sz w:val="20"/>
          <w:szCs w:val="20"/>
        </w:rPr>
      </w:pPr>
    </w:p>
    <w:sectPr w:rsidR="004659E6" w:rsidRPr="009C50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B7148" w14:textId="77777777" w:rsidR="00E74113" w:rsidRDefault="00E74113" w:rsidP="009C50B8">
      <w:r>
        <w:separator/>
      </w:r>
    </w:p>
  </w:endnote>
  <w:endnote w:type="continuationSeparator" w:id="0">
    <w:p w14:paraId="395CAEA0" w14:textId="77777777" w:rsidR="00E74113" w:rsidRDefault="00E74113" w:rsidP="009C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6BDC1" w14:textId="77777777" w:rsidR="00E74113" w:rsidRDefault="00E74113" w:rsidP="009C50B8">
      <w:r>
        <w:separator/>
      </w:r>
    </w:p>
  </w:footnote>
  <w:footnote w:type="continuationSeparator" w:id="0">
    <w:p w14:paraId="49B465C3" w14:textId="77777777" w:rsidR="00E74113" w:rsidRDefault="00E74113" w:rsidP="009C5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CB753" w14:textId="77777777" w:rsidR="009C50B8" w:rsidRPr="00735C5D" w:rsidRDefault="009C50B8" w:rsidP="009C50B8">
    <w:pPr>
      <w:keepNext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6C21DE9D" w14:textId="77777777" w:rsidR="009C50B8" w:rsidRPr="00735C5D" w:rsidRDefault="009C50B8" w:rsidP="009C50B8">
    <w:pPr>
      <w:keepNext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INVESTIȚIA I3. SCHEME DE AJUTOR PENTRU SECTORUL PRIVAT</w:t>
    </w:r>
  </w:p>
  <w:p w14:paraId="6A6629CA" w14:textId="77777777" w:rsidR="009C50B8" w:rsidRPr="00735C5D" w:rsidRDefault="009C50B8" w:rsidP="009C50B8">
    <w:pPr>
      <w:keepNext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MĂSURA 2. SCHEMĂ DE MINIMIS PENTRU AJUTAREA FIRMELOR DIN ROMÂNIA ÎN PROCESUL DE LISTARE LA BURSĂ</w:t>
    </w:r>
  </w:p>
  <w:p w14:paraId="1CEBF609" w14:textId="77777777" w:rsidR="009C50B8" w:rsidRDefault="009C50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7DC8"/>
    <w:multiLevelType w:val="hybridMultilevel"/>
    <w:tmpl w:val="8326B5E2"/>
    <w:lvl w:ilvl="0" w:tplc="A14449B6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D76FD"/>
    <w:multiLevelType w:val="hybridMultilevel"/>
    <w:tmpl w:val="4600F21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81A5D"/>
    <w:multiLevelType w:val="hybridMultilevel"/>
    <w:tmpl w:val="1B9A5DB8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62125E"/>
    <w:multiLevelType w:val="hybridMultilevel"/>
    <w:tmpl w:val="E43C97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451E1"/>
    <w:multiLevelType w:val="hybridMultilevel"/>
    <w:tmpl w:val="3FCCCD84"/>
    <w:lvl w:ilvl="0" w:tplc="A14449B6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A646B"/>
    <w:multiLevelType w:val="hybridMultilevel"/>
    <w:tmpl w:val="EEE439E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87CF1"/>
    <w:multiLevelType w:val="hybridMultilevel"/>
    <w:tmpl w:val="DFE4DC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02A48"/>
    <w:multiLevelType w:val="hybridMultilevel"/>
    <w:tmpl w:val="A3A697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05EEB"/>
    <w:multiLevelType w:val="hybridMultilevel"/>
    <w:tmpl w:val="87926BCA"/>
    <w:lvl w:ilvl="0" w:tplc="539621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80BBF"/>
    <w:multiLevelType w:val="hybridMultilevel"/>
    <w:tmpl w:val="BC045AEA"/>
    <w:lvl w:ilvl="0" w:tplc="CE620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E29E5"/>
    <w:multiLevelType w:val="hybridMultilevel"/>
    <w:tmpl w:val="7C5C77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B">
      <w:start w:val="1"/>
      <w:numFmt w:val="lowerRoman"/>
      <w:lvlText w:val="%2."/>
      <w:lvlJc w:val="righ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21687"/>
    <w:multiLevelType w:val="hybridMultilevel"/>
    <w:tmpl w:val="2A8A55EE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254"/>
    <w:multiLevelType w:val="hybridMultilevel"/>
    <w:tmpl w:val="BC045AE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9"/>
  </w:num>
  <w:num w:numId="7">
    <w:abstractNumId w:val="6"/>
  </w:num>
  <w:num w:numId="8">
    <w:abstractNumId w:val="4"/>
  </w:num>
  <w:num w:numId="9">
    <w:abstractNumId w:val="0"/>
  </w:num>
  <w:num w:numId="10">
    <w:abstractNumId w:val="11"/>
  </w:num>
  <w:num w:numId="11">
    <w:abstractNumId w:val="2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96"/>
    <w:rsid w:val="00003A7A"/>
    <w:rsid w:val="000B479C"/>
    <w:rsid w:val="002559F0"/>
    <w:rsid w:val="002D0D4C"/>
    <w:rsid w:val="00344E52"/>
    <w:rsid w:val="00373A2D"/>
    <w:rsid w:val="003F2B2C"/>
    <w:rsid w:val="004101DC"/>
    <w:rsid w:val="00424D7E"/>
    <w:rsid w:val="004659E6"/>
    <w:rsid w:val="004C0269"/>
    <w:rsid w:val="004E62D8"/>
    <w:rsid w:val="004F0C2E"/>
    <w:rsid w:val="004F4831"/>
    <w:rsid w:val="00561975"/>
    <w:rsid w:val="005A11C7"/>
    <w:rsid w:val="005B7196"/>
    <w:rsid w:val="00714B1E"/>
    <w:rsid w:val="007335A2"/>
    <w:rsid w:val="00781D6A"/>
    <w:rsid w:val="00784C8D"/>
    <w:rsid w:val="0089314B"/>
    <w:rsid w:val="00936246"/>
    <w:rsid w:val="00942B8B"/>
    <w:rsid w:val="00987970"/>
    <w:rsid w:val="009C50B8"/>
    <w:rsid w:val="00A92B84"/>
    <w:rsid w:val="00AD412D"/>
    <w:rsid w:val="00B10FD6"/>
    <w:rsid w:val="00B16DCC"/>
    <w:rsid w:val="00B43342"/>
    <w:rsid w:val="00B8629E"/>
    <w:rsid w:val="00BE668C"/>
    <w:rsid w:val="00E7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E01AB"/>
  <w15:chartTrackingRefBased/>
  <w15:docId w15:val="{351AFD21-C27C-4F31-A329-9B974403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196"/>
    <w:pPr>
      <w:widowControl w:val="0"/>
      <w:spacing w:after="0" w:line="240" w:lineRule="auto"/>
      <w:jc w:val="both"/>
    </w:pPr>
    <w:rPr>
      <w:rFonts w:ascii="Calibri" w:eastAsia="Calibri" w:hAnsi="Calibri" w:cs="Calibri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ody 2,List Paragraph11,List Paragraph111,Antes de enumeración,Listă colorată - Accentuare 11,Bullet,Citation List"/>
    <w:basedOn w:val="Normal"/>
    <w:link w:val="ListParagraphChar"/>
    <w:uiPriority w:val="34"/>
    <w:qFormat/>
    <w:rsid w:val="005B7196"/>
    <w:pPr>
      <w:widowControl/>
      <w:spacing w:after="160" w:line="259" w:lineRule="auto"/>
      <w:ind w:left="720"/>
      <w:contextualSpacing/>
    </w:pPr>
  </w:style>
  <w:style w:type="character" w:customStyle="1" w:styleId="ListParagraphChar">
    <w:name w:val="List Paragraph Char"/>
    <w:aliases w:val="Normal bullet 2 Char,body 2 Char,List Paragraph11 Char,List Paragraph111 Char,Antes de enumeración Char,Listă colorată - Accentuare 11 Char,Bullet Char,Citation List Char"/>
    <w:link w:val="ListParagraph"/>
    <w:uiPriority w:val="34"/>
    <w:locked/>
    <w:rsid w:val="005B7196"/>
    <w:rPr>
      <w:rFonts w:ascii="Calibri" w:eastAsia="Calibri" w:hAnsi="Calibri" w:cs="Calibri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5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0B8"/>
    <w:rPr>
      <w:rFonts w:ascii="Calibri" w:eastAsia="Calibri" w:hAnsi="Calibri" w:cs="Calibri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C5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0B8"/>
    <w:rPr>
      <w:rFonts w:ascii="Calibri" w:eastAsia="Calibri" w:hAnsi="Calibri" w:cs="Calibri"/>
      <w:sz w:val="24"/>
      <w:lang w:val="en-US"/>
    </w:rPr>
  </w:style>
  <w:style w:type="paragraph" w:customStyle="1" w:styleId="Default">
    <w:name w:val="Default"/>
    <w:rsid w:val="00003A7A"/>
    <w:pPr>
      <w:autoSpaceDE w:val="0"/>
      <w:autoSpaceDN w:val="0"/>
      <w:adjustRightInd w:val="0"/>
      <w:spacing w:after="0" w:line="240" w:lineRule="auto"/>
    </w:pPr>
    <w:rPr>
      <w:rFonts w:ascii="TimesNewRomanPSMT" w:eastAsia="TimesNewRomanPSMT" w:cs="TimesNewRomanPSMT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08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Carpusor</dc:creator>
  <cp:keywords/>
  <dc:description/>
  <cp:lastModifiedBy>Anca Ciocoiu</cp:lastModifiedBy>
  <cp:revision>2</cp:revision>
  <dcterms:created xsi:type="dcterms:W3CDTF">2023-02-22T16:24:00Z</dcterms:created>
  <dcterms:modified xsi:type="dcterms:W3CDTF">2023-02-22T16:24:00Z</dcterms:modified>
</cp:coreProperties>
</file>